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762E" w:rsidRDefault="000B762E" w:rsidP="000B762E">
      <w:pPr>
        <w:rPr>
          <w:b/>
          <w:sz w:val="22"/>
          <w:szCs w:val="22"/>
        </w:rPr>
      </w:pPr>
      <w:r w:rsidRPr="006E1743">
        <w:rPr>
          <w:b/>
          <w:i/>
          <w:sz w:val="22"/>
          <w:szCs w:val="22"/>
        </w:rPr>
        <w:t>More Than Language: Graduate Student Writing as “Disciplinary Becoming”</w:t>
      </w:r>
      <w:r w:rsidRPr="006E1743">
        <w:rPr>
          <w:b/>
          <w:sz w:val="22"/>
          <w:szCs w:val="22"/>
        </w:rPr>
        <w:t xml:space="preserve"> (Curry, 2016)</w:t>
      </w:r>
    </w:p>
    <w:p w:rsidR="000B762E" w:rsidRDefault="000B762E" w:rsidP="000B762E">
      <w:pPr>
        <w:rPr>
          <w:b/>
          <w:sz w:val="22"/>
          <w:szCs w:val="22"/>
        </w:rPr>
      </w:pPr>
    </w:p>
    <w:p w:rsidR="000B762E" w:rsidRDefault="000B762E" w:rsidP="000B762E">
      <w:pPr>
        <w:rPr>
          <w:b/>
          <w:sz w:val="22"/>
          <w:szCs w:val="22"/>
        </w:rPr>
      </w:pPr>
      <w:r>
        <w:rPr>
          <w:b/>
          <w:sz w:val="22"/>
          <w:szCs w:val="22"/>
        </w:rPr>
        <w:t>Keys to critical reading: The whole and the parts</w:t>
      </w:r>
    </w:p>
    <w:p w:rsidR="000B762E" w:rsidRDefault="000B762E" w:rsidP="000B762E">
      <w:pPr>
        <w:rPr>
          <w:b/>
          <w:sz w:val="22"/>
          <w:szCs w:val="22"/>
        </w:rPr>
      </w:pPr>
    </w:p>
    <w:p w:rsidR="000B762E" w:rsidRDefault="000B762E" w:rsidP="000B762E">
      <w:pPr>
        <w:pStyle w:val="ListParagraph"/>
        <w:numPr>
          <w:ilvl w:val="0"/>
          <w:numId w:val="2"/>
        </w:numPr>
        <w:rPr>
          <w:b/>
          <w:sz w:val="22"/>
          <w:szCs w:val="22"/>
        </w:rPr>
      </w:pPr>
      <w:r>
        <w:rPr>
          <w:b/>
          <w:sz w:val="22"/>
          <w:szCs w:val="22"/>
        </w:rPr>
        <w:t>Rhetorical context</w:t>
      </w:r>
    </w:p>
    <w:p w:rsidR="000B762E" w:rsidRDefault="000B762E" w:rsidP="000B762E">
      <w:pPr>
        <w:pStyle w:val="ListParagraph"/>
        <w:numPr>
          <w:ilvl w:val="0"/>
          <w:numId w:val="2"/>
        </w:numPr>
        <w:rPr>
          <w:b/>
          <w:sz w:val="22"/>
          <w:szCs w:val="22"/>
        </w:rPr>
      </w:pPr>
      <w:r>
        <w:rPr>
          <w:b/>
          <w:sz w:val="22"/>
          <w:szCs w:val="22"/>
        </w:rPr>
        <w:t>Title previewing</w:t>
      </w:r>
    </w:p>
    <w:p w:rsidR="000B762E" w:rsidRDefault="000B762E" w:rsidP="000B762E">
      <w:pPr>
        <w:pStyle w:val="ListParagraph"/>
        <w:numPr>
          <w:ilvl w:val="0"/>
          <w:numId w:val="2"/>
        </w:numPr>
        <w:rPr>
          <w:b/>
          <w:sz w:val="22"/>
          <w:szCs w:val="22"/>
        </w:rPr>
      </w:pPr>
      <w:r>
        <w:rPr>
          <w:b/>
          <w:sz w:val="22"/>
          <w:szCs w:val="22"/>
        </w:rPr>
        <w:t>Identifying keywords</w:t>
      </w:r>
    </w:p>
    <w:p w:rsidR="000B762E" w:rsidRDefault="000B762E" w:rsidP="000B762E">
      <w:pPr>
        <w:pStyle w:val="ListParagraph"/>
        <w:numPr>
          <w:ilvl w:val="0"/>
          <w:numId w:val="2"/>
        </w:numPr>
        <w:rPr>
          <w:b/>
          <w:sz w:val="22"/>
          <w:szCs w:val="22"/>
        </w:rPr>
      </w:pPr>
      <w:r>
        <w:rPr>
          <w:b/>
          <w:sz w:val="22"/>
          <w:szCs w:val="22"/>
        </w:rPr>
        <w:t>Skimming and scanning: Headings and topic sentences; intro and conclusion</w:t>
      </w:r>
    </w:p>
    <w:p w:rsidR="000B762E" w:rsidRPr="006E1743" w:rsidRDefault="000B762E" w:rsidP="000B762E">
      <w:pPr>
        <w:pStyle w:val="ListParagraph"/>
        <w:numPr>
          <w:ilvl w:val="0"/>
          <w:numId w:val="2"/>
        </w:numPr>
        <w:rPr>
          <w:b/>
          <w:sz w:val="22"/>
          <w:szCs w:val="22"/>
        </w:rPr>
      </w:pPr>
      <w:r>
        <w:rPr>
          <w:b/>
          <w:sz w:val="22"/>
          <w:szCs w:val="22"/>
        </w:rPr>
        <w:t xml:space="preserve">Bonus strategic reading hint: </w:t>
      </w:r>
      <w:r>
        <w:rPr>
          <w:b/>
          <w:i/>
          <w:sz w:val="22"/>
          <w:szCs w:val="22"/>
        </w:rPr>
        <w:t xml:space="preserve">Always know </w:t>
      </w:r>
      <w:r>
        <w:rPr>
          <w:b/>
          <w:i/>
          <w:sz w:val="22"/>
          <w:szCs w:val="22"/>
          <w:u w:val="single"/>
        </w:rPr>
        <w:t>why</w:t>
      </w:r>
      <w:r>
        <w:rPr>
          <w:b/>
          <w:i/>
          <w:sz w:val="22"/>
          <w:szCs w:val="22"/>
        </w:rPr>
        <w:t xml:space="preserve"> you are reading and what you will be expected to “do” with the text.</w:t>
      </w:r>
    </w:p>
    <w:p w:rsidR="000B762E" w:rsidRPr="006E1743" w:rsidRDefault="000B762E" w:rsidP="000B762E">
      <w:pPr>
        <w:pStyle w:val="ListParagraph"/>
        <w:numPr>
          <w:ilvl w:val="0"/>
          <w:numId w:val="2"/>
        </w:numPr>
        <w:rPr>
          <w:b/>
          <w:sz w:val="22"/>
          <w:szCs w:val="22"/>
        </w:rPr>
      </w:pPr>
      <w:r>
        <w:rPr>
          <w:b/>
          <w:sz w:val="22"/>
          <w:szCs w:val="22"/>
        </w:rPr>
        <w:t xml:space="preserve">Bonus English language acquisition hint: </w:t>
      </w:r>
      <w:r>
        <w:rPr>
          <w:b/>
          <w:i/>
          <w:sz w:val="22"/>
          <w:szCs w:val="22"/>
        </w:rPr>
        <w:t xml:space="preserve">Pay attention to </w:t>
      </w:r>
      <w:r>
        <w:rPr>
          <w:b/>
          <w:i/>
          <w:sz w:val="22"/>
          <w:szCs w:val="22"/>
          <w:u w:val="single"/>
        </w:rPr>
        <w:t>how language is used</w:t>
      </w:r>
      <w:r>
        <w:rPr>
          <w:b/>
          <w:i/>
          <w:sz w:val="22"/>
          <w:szCs w:val="22"/>
        </w:rPr>
        <w:t xml:space="preserve"> in the text to develop your own writing skills (e.g., vocabulary, language structures, tone, rhetorical organization)</w:t>
      </w: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I want to begin with the possibly controversial claim that the practice of differentiating graduate students according to linguistic and cultural background, common in Anglophile universities worldwide, distracts us from considering deeper and more important issues of disciplinary enculturation and academic identity formation that graduate students undergo, and the role of academic writing in this trajectory.</w:t>
      </w:r>
    </w:p>
    <w:p w:rsidR="000B762E" w:rsidRPr="006E1743" w:rsidRDefault="000B762E" w:rsidP="000B762E">
      <w:pPr>
        <w:pStyle w:val="ListParagraph"/>
        <w:rPr>
          <w:sz w:val="22"/>
          <w:szCs w:val="22"/>
        </w:rPr>
      </w:pPr>
    </w:p>
    <w:p w:rsidR="000B762E" w:rsidRDefault="000B762E" w:rsidP="000B762E">
      <w:pPr>
        <w:pStyle w:val="ListParagraph"/>
        <w:rPr>
          <w:sz w:val="22"/>
          <w:szCs w:val="22"/>
        </w:rPr>
      </w:pPr>
    </w:p>
    <w:p w:rsidR="000B762E" w:rsidRPr="006E1743" w:rsidRDefault="000B762E" w:rsidP="000B762E">
      <w:pPr>
        <w:pStyle w:val="ListParagraph"/>
        <w:rPr>
          <w:sz w:val="22"/>
          <w:szCs w:val="22"/>
        </w:rPr>
      </w:pPr>
    </w:p>
    <w:p w:rsidR="000B762E" w:rsidRPr="006E1743" w:rsidRDefault="000B762E" w:rsidP="000B762E">
      <w:pPr>
        <w:pStyle w:val="ListParagraph"/>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The dichotomy between “native” and “non-native” speakers of English or “international” students is reductionist and unhelpful.</w:t>
      </w: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Certainly EAL students in Anglophone universities can experience mismatches between their linguistic and cultural backgrounds and their new academic and cultural contexts.</w:t>
      </w:r>
    </w:p>
    <w:p w:rsidR="000B762E" w:rsidRPr="006E1743" w:rsidRDefault="000B762E" w:rsidP="000B762E">
      <w:pPr>
        <w:rPr>
          <w:sz w:val="22"/>
          <w:szCs w:val="22"/>
        </w:rPr>
      </w:pP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Writing is central to the nature and purpose of graduate education and to students who progress toward the degree—and beyond.</w:t>
      </w:r>
    </w:p>
    <w:p w:rsidR="000B762E" w:rsidRPr="006E1743" w:rsidRDefault="000B762E" w:rsidP="000B762E">
      <w:pPr>
        <w:rPr>
          <w:sz w:val="22"/>
          <w:szCs w:val="22"/>
        </w:rPr>
      </w:pP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Not all students, regardless of their linguistic and cultural backgrounds, have been asked to produce certain genres before reaching graduate school.</w:t>
      </w: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Nonetheless, as Simpson notes in the Introduction to this volume, faculty members often expect that students will arrive in graduate programs conversant in relevant academic genres, despite wide variation in disciplines and student backgrounds (Thaiss &amp; Zawacki, 2006).</w:t>
      </w: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The persistent view that students should come to graduate programs already knowing “how to write” may be informed by an ideology of the transparency of language (Lillis &amp; Turner, 2001), in which academic literacy is understood as an individual writer’s ability to control discrete elements of language, specifically the grammatical/mechanical/rhetorical conventions of standard English.</w:t>
      </w: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Take, for example, the syllabus, a core document in U.S. higher education that stipulates a course’s objectives for disciplinary content to be covered and the related assignments and assessments.</w:t>
      </w:r>
    </w:p>
    <w:p w:rsidR="000B762E" w:rsidRDefault="000B762E" w:rsidP="000B762E">
      <w:pPr>
        <w:rPr>
          <w:sz w:val="22"/>
          <w:szCs w:val="22"/>
        </w:rPr>
      </w:pPr>
    </w:p>
    <w:p w:rsidR="000B762E"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Significantly, social practice theories also acknowledge the power dynamics inherent in the production of academic texts (Casanave, 2014).</w:t>
      </w: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The view of academic literacy as comprising sets of social practices aligns with Miller’s (1984) definition of genre as “typified rhetorical actions based on recurrent situations” (p. 159).</w:t>
      </w:r>
    </w:p>
    <w:p w:rsidR="000B762E" w:rsidRPr="006E1743" w:rsidRDefault="000B762E" w:rsidP="000B762E">
      <w:pPr>
        <w:rPr>
          <w:sz w:val="22"/>
          <w:szCs w:val="22"/>
        </w:rPr>
      </w:pP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Genres produced at different gatekeeping moments also vary across disciplines and programs and according to anticipated student trajectories during and after graduate school.</w:t>
      </w:r>
    </w:p>
    <w:p w:rsidR="000B762E" w:rsidRPr="006E1743" w:rsidRDefault="000B762E" w:rsidP="000B762E">
      <w:pPr>
        <w:pStyle w:val="ListParagraph"/>
        <w:rPr>
          <w:sz w:val="22"/>
          <w:szCs w:val="22"/>
        </w:rPr>
      </w:pPr>
    </w:p>
    <w:p w:rsidR="000B762E" w:rsidRDefault="000B762E" w:rsidP="000B762E">
      <w:pPr>
        <w:pStyle w:val="ListParagraph"/>
        <w:rPr>
          <w:sz w:val="22"/>
          <w:szCs w:val="22"/>
        </w:rPr>
      </w:pPr>
    </w:p>
    <w:p w:rsidR="000B762E" w:rsidRPr="006E1743" w:rsidRDefault="000B762E" w:rsidP="000B762E">
      <w:pPr>
        <w:pStyle w:val="ListParagraph"/>
        <w:rPr>
          <w:sz w:val="22"/>
          <w:szCs w:val="22"/>
        </w:rPr>
      </w:pPr>
    </w:p>
    <w:p w:rsidR="000B762E" w:rsidRPr="006E1743" w:rsidRDefault="000B762E" w:rsidP="000B762E">
      <w:pPr>
        <w:pStyle w:val="ListParagraph"/>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Whether to novices (e.g., students) or practitioners, academic literacy practices are typically opaque (Casanave &amp; Li, 2008).</w:t>
      </w: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The genres included in Table 3.1 were identified during nearly a decade of teaching and working in writing support at my university’s School of Education; those in Table 3.2 are the result of a longitudinal ethnographic study of engineers in three research groups writing for publication (see Curry, 2014, for study details and other findings).</w:t>
      </w:r>
    </w:p>
    <w:p w:rsidR="000B762E" w:rsidRPr="006E1743" w:rsidRDefault="000B762E" w:rsidP="000B762E">
      <w:pPr>
        <w:rPr>
          <w:sz w:val="22"/>
          <w:szCs w:val="22"/>
        </w:rPr>
      </w:pP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These lists hint at the complexity of “graduate academic writing” and suggest the challenges for graduate students to learn the genres of their disciplinary contexts.</w:t>
      </w: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Learning to read and analyze an academic genre does not automatically translate to being able to write it successfully.</w:t>
      </w: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The complex social contexts of graduate programs mean that many students, especially PhD students, experience graduate school as a time of important identity shifts: from consumer to producer of knowledge, from novice to expert, from student to author (Ivanic, 1998).</w:t>
      </w: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As students, particularly doctoral students, write in order to prepare for and then to produce gatekeeping genres such as comprehensive examinations, they must also learn to create a professional academic “writing persona” (Becker, 1986), taking on an “authorial voice” (Hyland, 2002).</w:t>
      </w: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Some of the key rhetorical aspects of taking an authoritative stance in academic writing—speaking with an authorial voice—involve students making meta-discoursal commentary on the research process and the state of knowledge production in their discipline.</w:t>
      </w: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Another crucial but difficult moment in taking ownership of disciplinary knowledge comes in the shift from summarizing to synthesizing and critiquing the literature in the process of constructing a literature review.</w:t>
      </w: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At the extreme of the authoritative stance, students may not feel comfortable making epistemological claims about the state of knowledge or research methodologies in their discipline.</w:t>
      </w: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Although not all graduate students have as an end goal to distribute their research through professional genres such as articles, books, or patents, there is growing pressure worldwide for students to publish early and often, partially depending on discipline (Huang, 2014; Pare, 2010).</w:t>
      </w:r>
    </w:p>
    <w:p w:rsidR="000B762E" w:rsidRPr="006E1743"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lastRenderedPageBreak/>
        <w:t>Partly in response to the pressures to publish, options for student publication are increasing, with journals devoting special issues to, and entire journals showcasing, the work of “emerging scholars.”</w:t>
      </w: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A high proportion of graduate students in science, technology, engineering, and mathematics (STEM) fields has as their end goal to leave academic to work in industry.</w:t>
      </w: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One genre that advanced graduate students in science and technology may also learn to produce is patents, a distinctly different genre from articles in terms of audience, purpose, and format, given the goals of patents to safeguard intellectual property rights rather than to further academic knowledge.</w:t>
      </w:r>
    </w:p>
    <w:p w:rsidR="000B762E" w:rsidRDefault="000B762E" w:rsidP="000B762E">
      <w:pPr>
        <w:rPr>
          <w:sz w:val="22"/>
          <w:szCs w:val="22"/>
        </w:rPr>
      </w:pPr>
    </w:p>
    <w:p w:rsidR="000B762E"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In this chapter, I have aimed to shift the conversation from discussions of (EAL) graduate students’ writing that start from the notion of language (“grammar”) as the central challenge for students (and the likely solution to any perceived problems with EAL student writing) to a broader discussion of graduate students gaining control over the range of genres specific to their disciplinary context, whether these are in class or out of class, assessed or unassessed, student or professional.</w:t>
      </w:r>
    </w:p>
    <w:p w:rsidR="000B762E" w:rsidRDefault="000B762E" w:rsidP="000B762E">
      <w:pPr>
        <w:rPr>
          <w:sz w:val="22"/>
          <w:szCs w:val="22"/>
        </w:rPr>
      </w:pPr>
    </w:p>
    <w:p w:rsidR="000B762E" w:rsidRDefault="000B762E" w:rsidP="000B762E">
      <w:pPr>
        <w:rPr>
          <w:sz w:val="22"/>
          <w:szCs w:val="22"/>
        </w:rPr>
      </w:pPr>
    </w:p>
    <w:p w:rsidR="000B762E" w:rsidRDefault="000B762E" w:rsidP="000B762E">
      <w:pPr>
        <w:rPr>
          <w:sz w:val="22"/>
          <w:szCs w:val="22"/>
        </w:rPr>
      </w:pPr>
    </w:p>
    <w:p w:rsidR="000B762E" w:rsidRPr="006E1743" w:rsidRDefault="000B762E" w:rsidP="000B762E">
      <w:pPr>
        <w:rPr>
          <w:sz w:val="22"/>
          <w:szCs w:val="22"/>
        </w:rPr>
      </w:pPr>
    </w:p>
    <w:p w:rsidR="000B762E" w:rsidRPr="006E1743" w:rsidRDefault="000B762E" w:rsidP="000B762E">
      <w:pPr>
        <w:pStyle w:val="ListParagraph"/>
        <w:numPr>
          <w:ilvl w:val="0"/>
          <w:numId w:val="1"/>
        </w:numPr>
        <w:rPr>
          <w:sz w:val="22"/>
          <w:szCs w:val="22"/>
        </w:rPr>
      </w:pPr>
      <w:r w:rsidRPr="006E1743">
        <w:rPr>
          <w:sz w:val="22"/>
          <w:szCs w:val="22"/>
        </w:rPr>
        <w:t>Ultimately, as students engage more deeply in disciplinary literacy practices, they may more fruitfully learn academic literacy practices in interaction with disciplinary faculty members, whether in courses or in advising and collaboration.</w:t>
      </w:r>
    </w:p>
    <w:p w:rsidR="000B762E" w:rsidRPr="006E1743" w:rsidRDefault="000B762E" w:rsidP="000B762E">
      <w:pPr>
        <w:rPr>
          <w:sz w:val="22"/>
          <w:szCs w:val="22"/>
        </w:rPr>
      </w:pPr>
    </w:p>
    <w:p w:rsidR="000B762E" w:rsidRDefault="000B762E" w:rsidP="000B762E">
      <w:pPr>
        <w:rPr>
          <w:sz w:val="22"/>
          <w:szCs w:val="22"/>
        </w:rPr>
      </w:pPr>
    </w:p>
    <w:p w:rsidR="000B762E" w:rsidRDefault="000B762E" w:rsidP="000B762E">
      <w:pPr>
        <w:rPr>
          <w:b/>
          <w:sz w:val="22"/>
          <w:szCs w:val="22"/>
        </w:rPr>
      </w:pPr>
    </w:p>
    <w:p w:rsidR="000B762E" w:rsidRDefault="000B762E" w:rsidP="000B762E">
      <w:pPr>
        <w:rPr>
          <w:b/>
          <w:sz w:val="22"/>
          <w:szCs w:val="22"/>
        </w:rPr>
      </w:pPr>
    </w:p>
    <w:p w:rsidR="000B762E" w:rsidRDefault="000B762E" w:rsidP="000B762E">
      <w:pPr>
        <w:rPr>
          <w:b/>
          <w:sz w:val="22"/>
          <w:szCs w:val="22"/>
        </w:rPr>
      </w:pPr>
    </w:p>
    <w:p w:rsidR="000B762E" w:rsidRDefault="000B762E" w:rsidP="000B762E">
      <w:pPr>
        <w:rPr>
          <w:b/>
          <w:sz w:val="22"/>
          <w:szCs w:val="22"/>
        </w:rPr>
      </w:pPr>
    </w:p>
    <w:p w:rsidR="000B762E" w:rsidRDefault="000B762E" w:rsidP="000B762E">
      <w:pPr>
        <w:rPr>
          <w:b/>
          <w:sz w:val="22"/>
          <w:szCs w:val="22"/>
        </w:rPr>
      </w:pPr>
      <w:r>
        <w:rPr>
          <w:b/>
          <w:sz w:val="22"/>
          <w:szCs w:val="22"/>
        </w:rPr>
        <w:t>How does this reading connect to you as a U.S. graduate student?</w:t>
      </w:r>
    </w:p>
    <w:p w:rsidR="000B762E" w:rsidRDefault="000B762E" w:rsidP="000B762E">
      <w:pPr>
        <w:rPr>
          <w:b/>
          <w:sz w:val="22"/>
          <w:szCs w:val="22"/>
        </w:rPr>
      </w:pPr>
    </w:p>
    <w:p w:rsidR="000B762E" w:rsidRDefault="000B762E" w:rsidP="000B762E">
      <w:pPr>
        <w:rPr>
          <w:b/>
          <w:sz w:val="22"/>
          <w:szCs w:val="22"/>
        </w:rPr>
      </w:pPr>
    </w:p>
    <w:p w:rsidR="000B762E" w:rsidRDefault="000B762E" w:rsidP="000B762E">
      <w:pPr>
        <w:rPr>
          <w:b/>
          <w:sz w:val="22"/>
          <w:szCs w:val="22"/>
        </w:rPr>
      </w:pPr>
    </w:p>
    <w:p w:rsidR="000B762E" w:rsidRDefault="000B762E" w:rsidP="000B762E">
      <w:pPr>
        <w:rPr>
          <w:b/>
          <w:sz w:val="22"/>
          <w:szCs w:val="22"/>
        </w:rPr>
      </w:pPr>
    </w:p>
    <w:p w:rsidR="000B762E" w:rsidRPr="006E1743" w:rsidRDefault="000B762E" w:rsidP="000B762E">
      <w:pPr>
        <w:rPr>
          <w:rFonts w:ascii="Times New Roman" w:eastAsia="Times New Roman" w:hAnsi="Times New Roman" w:cs="Times New Roman"/>
        </w:rPr>
      </w:pPr>
      <w:r>
        <w:rPr>
          <w:b/>
          <w:sz w:val="22"/>
          <w:szCs w:val="22"/>
        </w:rPr>
        <w:t>What makes this reading “academic”?</w:t>
      </w:r>
    </w:p>
    <w:p w:rsidR="000B762E" w:rsidRPr="006E1743" w:rsidRDefault="000B762E" w:rsidP="000B762E">
      <w:pPr>
        <w:rPr>
          <w:b/>
          <w:sz w:val="22"/>
          <w:szCs w:val="22"/>
        </w:rPr>
      </w:pPr>
    </w:p>
    <w:p w:rsidR="00594FCF" w:rsidRPr="0039412A" w:rsidRDefault="00594FCF">
      <w:pPr>
        <w:rPr>
          <w:rFonts w:asciiTheme="majorBidi" w:hAnsiTheme="majorBidi" w:cstheme="majorBidi"/>
        </w:rPr>
      </w:pPr>
      <w:bookmarkStart w:id="0" w:name="_GoBack"/>
      <w:bookmarkEnd w:id="0"/>
    </w:p>
    <w:sectPr w:rsidR="00594FCF" w:rsidRPr="0039412A" w:rsidSect="006E1743">
      <w:pgSz w:w="12240" w:h="15840"/>
      <w:pgMar w:top="1152" w:right="1152" w:bottom="1152" w:left="1152"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4B3E11"/>
    <w:multiLevelType w:val="hybridMultilevel"/>
    <w:tmpl w:val="8708B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6527A5"/>
    <w:multiLevelType w:val="hybridMultilevel"/>
    <w:tmpl w:val="2B549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12A"/>
    <w:rsid w:val="000B762E"/>
    <w:rsid w:val="0039412A"/>
    <w:rsid w:val="003B09A4"/>
    <w:rsid w:val="00594F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613D9"/>
  <w15:chartTrackingRefBased/>
  <w15:docId w15:val="{6B3044C6-520D-48BD-9B83-062EBDA02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762E"/>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6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Musalli, Sami Waleed</dc:creator>
  <cp:keywords/>
  <dc:description/>
  <cp:lastModifiedBy>Musalli, Sami Waleed</cp:lastModifiedBy>
  <cp:revision>1</cp:revision>
  <dcterms:created xsi:type="dcterms:W3CDTF">2018-01-28T18:00:00Z</dcterms:created>
  <dcterms:modified xsi:type="dcterms:W3CDTF">2018-01-28T18:16:00Z</dcterms:modified>
</cp:coreProperties>
</file>